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27D95" w14:textId="0C400509" w:rsidR="005E4850" w:rsidRDefault="005E4850" w:rsidP="005E4850">
      <w:pPr>
        <w:spacing w:after="0" w:line="240" w:lineRule="auto"/>
        <w:rPr>
          <w:rFonts w:ascii="Palatino Linotype" w:hAnsi="Palatino Linotype"/>
          <w:b/>
          <w:color w:val="000000" w:themeColor="text1"/>
        </w:rPr>
      </w:pPr>
      <w:bookmarkStart w:id="0" w:name="_GoBack"/>
      <w:bookmarkEnd w:id="0"/>
      <w:r>
        <w:rPr>
          <w:rFonts w:ascii="Palatino Linotype" w:hAnsi="Palatino Linotype"/>
          <w:b/>
          <w:color w:val="000000" w:themeColor="text1"/>
        </w:rPr>
        <w:tab/>
      </w:r>
      <w:r w:rsidR="004364AD">
        <w:rPr>
          <w:rFonts w:ascii="Palatino Linotype" w:hAnsi="Palatino Linotype"/>
          <w:b/>
          <w:noProof/>
          <w:color w:val="000000" w:themeColor="text1"/>
          <w:lang w:eastAsia="de-DE"/>
        </w:rPr>
        <w:tab/>
      </w:r>
      <w:r w:rsidR="004364AD">
        <w:rPr>
          <w:rFonts w:ascii="Palatino Linotype" w:hAnsi="Palatino Linotype"/>
          <w:b/>
          <w:noProof/>
          <w:color w:val="000000" w:themeColor="text1"/>
          <w:lang w:eastAsia="de-DE"/>
        </w:rPr>
        <w:tab/>
      </w:r>
      <w:r w:rsidR="004364AD">
        <w:rPr>
          <w:rFonts w:ascii="Palatino Linotype" w:hAnsi="Palatino Linotype"/>
          <w:b/>
          <w:noProof/>
          <w:color w:val="000000" w:themeColor="text1"/>
          <w:lang w:eastAsia="de-DE"/>
        </w:rPr>
        <w:tab/>
      </w:r>
      <w:r w:rsidR="004364AD">
        <w:rPr>
          <w:rFonts w:ascii="Palatino Linotype" w:hAnsi="Palatino Linotype"/>
          <w:b/>
          <w:noProof/>
          <w:color w:val="000000" w:themeColor="text1"/>
          <w:lang w:eastAsia="de-DE"/>
        </w:rPr>
        <w:tab/>
      </w:r>
      <w:r>
        <w:rPr>
          <w:rFonts w:ascii="Palatino Linotype" w:hAnsi="Palatino Linotype"/>
          <w:b/>
          <w:color w:val="000000" w:themeColor="text1"/>
        </w:rPr>
        <w:tab/>
      </w:r>
    </w:p>
    <w:p w14:paraId="3375B9F9" w14:textId="789D4DFD" w:rsidR="002856B4" w:rsidRPr="00F87910" w:rsidRDefault="002856B4" w:rsidP="00F21CEF">
      <w:pPr>
        <w:spacing w:after="0" w:line="240" w:lineRule="auto"/>
        <w:jc w:val="center"/>
        <w:rPr>
          <w:rFonts w:ascii="Palatino Linotype" w:hAnsi="Palatino Linotype"/>
          <w:b/>
          <w:color w:val="000000" w:themeColor="text1"/>
          <w:sz w:val="16"/>
          <w:szCs w:val="16"/>
        </w:rPr>
      </w:pPr>
    </w:p>
    <w:p w14:paraId="07552686" w14:textId="77777777" w:rsidR="002856B4" w:rsidRPr="00F87910" w:rsidRDefault="002856B4" w:rsidP="00F21CEF">
      <w:pPr>
        <w:spacing w:after="0" w:line="240" w:lineRule="auto"/>
        <w:jc w:val="center"/>
        <w:rPr>
          <w:rFonts w:ascii="Palatino Linotype" w:hAnsi="Palatino Linotype"/>
          <w:b/>
          <w:color w:val="000000" w:themeColor="text1"/>
          <w:sz w:val="16"/>
          <w:szCs w:val="16"/>
        </w:rPr>
      </w:pPr>
    </w:p>
    <w:p w14:paraId="41693142" w14:textId="77777777" w:rsidR="0054608B" w:rsidRDefault="0054608B" w:rsidP="00662D6B">
      <w:pPr>
        <w:jc w:val="center"/>
        <w:rPr>
          <w:rFonts w:ascii="Palatino Linotype" w:hAnsi="Palatino Linotype"/>
          <w:b/>
          <w:smallCaps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"/>
        <w:gridCol w:w="7058"/>
        <w:gridCol w:w="1449"/>
      </w:tblGrid>
      <w:tr w:rsidR="004364AD" w:rsidRPr="00744722" w14:paraId="1B889ECB" w14:textId="77777777" w:rsidTr="004364AD">
        <w:trPr>
          <w:trHeight w:val="1402"/>
          <w:jc w:val="center"/>
        </w:trPr>
        <w:tc>
          <w:tcPr>
            <w:tcW w:w="707" w:type="dxa"/>
            <w:vMerge w:val="restart"/>
          </w:tcPr>
          <w:p w14:paraId="3FBBEAC4" w14:textId="77777777" w:rsidR="004364AD" w:rsidRPr="007A06F8" w:rsidRDefault="004364AD" w:rsidP="00A507FE">
            <w:pPr>
              <w:rPr>
                <w:rFonts w:ascii="Palatino Linotype" w:hAnsi="Palatino Linotype"/>
                <w:color w:val="25E6C3"/>
                <w:sz w:val="28"/>
                <w:szCs w:val="28"/>
                <w:lang w:val="en-GB"/>
              </w:rPr>
            </w:pPr>
            <w:r w:rsidRPr="007A06F8">
              <w:rPr>
                <w:rFonts w:ascii="Palatino Linotype" w:hAnsi="Palatino Linotype"/>
                <w:color w:val="25E6C3"/>
                <w:sz w:val="96"/>
                <w:szCs w:val="28"/>
                <w:lang w:val="en-GB"/>
              </w:rPr>
              <w:t xml:space="preserve">] </w:t>
            </w:r>
          </w:p>
        </w:tc>
        <w:tc>
          <w:tcPr>
            <w:tcW w:w="7058" w:type="dxa"/>
          </w:tcPr>
          <w:p w14:paraId="272A38CC" w14:textId="0A7D1D07" w:rsidR="004364AD" w:rsidRPr="0012738C" w:rsidRDefault="0012738C" w:rsidP="00A507FE">
            <w:pPr>
              <w:spacing w:after="240"/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  <w:lang w:val="en-US"/>
              </w:rPr>
            </w:pPr>
            <w:r w:rsidRPr="0012738C">
              <w:rPr>
                <w:rFonts w:ascii="Palatino Linotype" w:hAnsi="Palatino Linotype"/>
                <w:b/>
                <w:color w:val="D8092D"/>
                <w:sz w:val="28"/>
                <w:szCs w:val="28"/>
                <w:lang w:val="en-US"/>
              </w:rPr>
              <w:t>Motion – Spaces of Human E</w:t>
            </w:r>
            <w:r>
              <w:rPr>
                <w:rFonts w:ascii="Palatino Linotype" w:hAnsi="Palatino Linotype"/>
                <w:b/>
                <w:color w:val="D8092D"/>
                <w:sz w:val="28"/>
                <w:szCs w:val="28"/>
                <w:lang w:val="en-US"/>
              </w:rPr>
              <w:t>xperience</w:t>
            </w:r>
          </w:p>
        </w:tc>
        <w:tc>
          <w:tcPr>
            <w:tcW w:w="1449" w:type="dxa"/>
            <w:vMerge w:val="restart"/>
          </w:tcPr>
          <w:p w14:paraId="19D1AA8D" w14:textId="77777777" w:rsidR="004364AD" w:rsidRPr="007A06F8" w:rsidRDefault="004364AD" w:rsidP="00A507FE">
            <w:pPr>
              <w:rPr>
                <w:rFonts w:ascii="Palatino Linotype" w:hAnsi="Palatino Linotype"/>
                <w:color w:val="000000" w:themeColor="text1"/>
                <w:sz w:val="28"/>
                <w:szCs w:val="28"/>
                <w:lang w:val="en-GB"/>
              </w:rPr>
            </w:pPr>
            <w:r w:rsidRPr="007A06F8">
              <w:rPr>
                <w:rFonts w:ascii="Palatino Linotype" w:hAnsi="Palatino Linotype"/>
                <w:color w:val="25E6C3"/>
                <w:sz w:val="96"/>
                <w:szCs w:val="28"/>
                <w:lang w:val="en-GB"/>
              </w:rPr>
              <w:t>[</w:t>
            </w:r>
          </w:p>
        </w:tc>
      </w:tr>
      <w:tr w:rsidR="004364AD" w:rsidRPr="009837BB" w14:paraId="533437AF" w14:textId="77777777" w:rsidTr="004364AD">
        <w:trPr>
          <w:jc w:val="center"/>
        </w:trPr>
        <w:tc>
          <w:tcPr>
            <w:tcW w:w="707" w:type="dxa"/>
            <w:vMerge/>
          </w:tcPr>
          <w:p w14:paraId="634094BB" w14:textId="77777777" w:rsidR="004364AD" w:rsidRPr="00744722" w:rsidRDefault="004364AD" w:rsidP="00A507FE">
            <w:pPr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7058" w:type="dxa"/>
          </w:tcPr>
          <w:p w14:paraId="3F96B29C" w14:textId="21F89606" w:rsidR="004364AD" w:rsidRPr="00D11C38" w:rsidRDefault="0012738C" w:rsidP="00D11C38">
            <w:pPr>
              <w:spacing w:line="280" w:lineRule="exact"/>
              <w:rPr>
                <w:rFonts w:ascii="Palatino Linotype" w:hAnsi="Palatino Linotype"/>
                <w:color w:val="D8092D"/>
                <w:sz w:val="24"/>
                <w:szCs w:val="28"/>
                <w:lang w:val="en-GB"/>
              </w:rPr>
            </w:pPr>
            <w:r>
              <w:rPr>
                <w:rFonts w:ascii="Palatino Linotype" w:hAnsi="Palatino Linotype"/>
                <w:color w:val="D8092D"/>
                <w:sz w:val="24"/>
                <w:szCs w:val="28"/>
                <w:lang w:val="en-GB"/>
              </w:rPr>
              <w:t>Warsaw, 13-15.6.2019, University of Warsaw and Polish Academy of Sciences</w:t>
            </w:r>
          </w:p>
        </w:tc>
        <w:tc>
          <w:tcPr>
            <w:tcW w:w="1449" w:type="dxa"/>
            <w:vMerge/>
          </w:tcPr>
          <w:p w14:paraId="134EDB00" w14:textId="77777777" w:rsidR="004364AD" w:rsidRPr="00744722" w:rsidRDefault="004364AD" w:rsidP="00A507FE">
            <w:pPr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4364AD" w:rsidRPr="009837BB" w14:paraId="34F57580" w14:textId="77777777" w:rsidTr="004364AD">
        <w:trPr>
          <w:jc w:val="center"/>
        </w:trPr>
        <w:tc>
          <w:tcPr>
            <w:tcW w:w="707" w:type="dxa"/>
          </w:tcPr>
          <w:p w14:paraId="1549269E" w14:textId="77777777" w:rsidR="004364AD" w:rsidRPr="00744722" w:rsidRDefault="004364AD" w:rsidP="00A507FE">
            <w:pPr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7058" w:type="dxa"/>
          </w:tcPr>
          <w:p w14:paraId="71C2BAC8" w14:textId="47A96FCA" w:rsidR="004364AD" w:rsidRPr="007A06F8" w:rsidRDefault="004364AD" w:rsidP="00A507FE">
            <w:pPr>
              <w:rPr>
                <w:rFonts w:ascii="Palatino Linotype" w:hAnsi="Palatino Linotype"/>
                <w:b/>
                <w:color w:val="000000" w:themeColor="text1"/>
                <w:sz w:val="24"/>
                <w:szCs w:val="28"/>
                <w:lang w:val="en-GB"/>
              </w:rPr>
            </w:pPr>
          </w:p>
        </w:tc>
        <w:tc>
          <w:tcPr>
            <w:tcW w:w="1449" w:type="dxa"/>
          </w:tcPr>
          <w:p w14:paraId="5684852A" w14:textId="77777777" w:rsidR="004364AD" w:rsidRPr="00744722" w:rsidRDefault="004364AD" w:rsidP="00A507FE">
            <w:pPr>
              <w:rPr>
                <w:rFonts w:ascii="Palatino Linotype" w:hAnsi="Palatino Linotype"/>
                <w:b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14:paraId="305CD4A5" w14:textId="58A033E7" w:rsidR="00D11C38" w:rsidRPr="009837BB" w:rsidRDefault="00D11C38" w:rsidP="00D11C38">
      <w:pPr>
        <w:spacing w:after="120" w:line="240" w:lineRule="exact"/>
        <w:ind w:left="709" w:right="1417" w:firstLine="707"/>
        <w:jc w:val="both"/>
        <w:rPr>
          <w:rFonts w:ascii="Palatino Linotype" w:hAnsi="Palatino Linotype"/>
          <w:color w:val="D8092D"/>
          <w:sz w:val="24"/>
          <w:szCs w:val="24"/>
          <w:lang w:val="en-GB"/>
        </w:rPr>
      </w:pPr>
    </w:p>
    <w:p w14:paraId="38E53982" w14:textId="77777777" w:rsidR="00D11C38" w:rsidRPr="009837BB" w:rsidRDefault="00D11C38" w:rsidP="00662D6B">
      <w:pPr>
        <w:jc w:val="center"/>
        <w:rPr>
          <w:rFonts w:ascii="Palatino Linotype" w:hAnsi="Palatino Linotype"/>
          <w:b/>
          <w:smallCaps/>
          <w:sz w:val="32"/>
          <w:szCs w:val="32"/>
          <w:lang w:val="en-GB"/>
        </w:rPr>
      </w:pPr>
    </w:p>
    <w:p w14:paraId="0BA4E92D" w14:textId="0500325C" w:rsidR="00662D6B" w:rsidRPr="00720D8B" w:rsidRDefault="0012738C" w:rsidP="00662D6B">
      <w:pPr>
        <w:jc w:val="center"/>
        <w:rPr>
          <w:rFonts w:ascii="Palatino Linotype" w:hAnsi="Palatino Linotype"/>
          <w:b/>
          <w:smallCaps/>
          <w:sz w:val="32"/>
          <w:szCs w:val="32"/>
        </w:rPr>
      </w:pPr>
      <w:r>
        <w:rPr>
          <w:rFonts w:ascii="Palatino Linotype" w:hAnsi="Palatino Linotype"/>
          <w:b/>
          <w:smallCaps/>
          <w:sz w:val="32"/>
          <w:szCs w:val="32"/>
        </w:rPr>
        <w:t>Who is who</w:t>
      </w:r>
      <w:r w:rsidR="00F67C5D">
        <w:rPr>
          <w:rFonts w:ascii="Palatino Linotype" w:hAnsi="Palatino Linotype"/>
          <w:b/>
          <w:smallCaps/>
          <w:sz w:val="32"/>
          <w:szCs w:val="32"/>
        </w:rPr>
        <w:t>?</w:t>
      </w:r>
    </w:p>
    <w:p w14:paraId="7B9395FA" w14:textId="759803E4" w:rsidR="0054608B" w:rsidRDefault="00662D6B" w:rsidP="004364AD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662D6B">
        <w:rPr>
          <w:rFonts w:ascii="Palatino Linotype" w:hAnsi="Palatino Linotype"/>
        </w:rPr>
        <w:t>Name:</w:t>
      </w:r>
      <w:r w:rsidR="005D6060">
        <w:rPr>
          <w:rFonts w:ascii="Palatino Linotype" w:hAnsi="Palatino Linotype"/>
        </w:rPr>
        <w:t xml:space="preserve"> </w:t>
      </w:r>
      <w:r w:rsidR="00A75853">
        <w:rPr>
          <w:rFonts w:ascii="Palatino Linotype" w:hAnsi="Palatino Linotype"/>
        </w:rPr>
        <w:t>Buchholz, Michael</w:t>
      </w:r>
    </w:p>
    <w:p w14:paraId="24DA0DDB" w14:textId="77777777" w:rsidR="004364AD" w:rsidRPr="004364AD" w:rsidRDefault="004364AD" w:rsidP="004364AD">
      <w:pPr>
        <w:pStyle w:val="ListParagraph"/>
        <w:rPr>
          <w:rFonts w:ascii="Palatino Linotype" w:hAnsi="Palatino Linotype"/>
        </w:rPr>
      </w:pPr>
    </w:p>
    <w:p w14:paraId="62CC8209" w14:textId="77777777" w:rsidR="00662D6B" w:rsidRDefault="00662D6B" w:rsidP="00662D6B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662D6B">
        <w:rPr>
          <w:rFonts w:ascii="Palatino Linotype" w:hAnsi="Palatino Linotype"/>
        </w:rPr>
        <w:t>Foto:</w:t>
      </w:r>
    </w:p>
    <w:p w14:paraId="3C33A3BD" w14:textId="1F324383" w:rsidR="00662D6B" w:rsidRDefault="00A75853" w:rsidP="00662D6B">
      <w:pPr>
        <w:pStyle w:val="ListParagraph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7982A293" wp14:editId="74768CC6">
            <wp:extent cx="6660515" cy="443928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6D1D" w14:textId="77777777" w:rsidR="00662D6B" w:rsidRDefault="00662D6B" w:rsidP="00662D6B">
      <w:pPr>
        <w:rPr>
          <w:rFonts w:ascii="Palatino Linotype" w:hAnsi="Palatino Linotype"/>
        </w:rPr>
      </w:pPr>
    </w:p>
    <w:p w14:paraId="61BB093E" w14:textId="6C6CE48B" w:rsidR="008C46E2" w:rsidRPr="0031636F" w:rsidRDefault="00662D6B" w:rsidP="00662D6B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 w:rsidRPr="0031636F">
        <w:rPr>
          <w:rFonts w:ascii="Palatino Linotype" w:hAnsi="Palatino Linotype"/>
        </w:rPr>
        <w:lastRenderedPageBreak/>
        <w:t xml:space="preserve">Link </w:t>
      </w:r>
      <w:r w:rsidR="0012738C">
        <w:rPr>
          <w:rFonts w:ascii="Palatino Linotype" w:hAnsi="Palatino Linotype"/>
        </w:rPr>
        <w:t>to the website</w:t>
      </w:r>
      <w:r w:rsidRPr="0031636F">
        <w:rPr>
          <w:rFonts w:ascii="Palatino Linotype" w:hAnsi="Palatino Linotype"/>
        </w:rPr>
        <w:t>:</w:t>
      </w:r>
    </w:p>
    <w:p w14:paraId="29E4C7C8" w14:textId="17CB8D6B" w:rsidR="0031636F" w:rsidRDefault="0031636F" w:rsidP="0031636F">
      <w:pPr>
        <w:spacing w:line="240" w:lineRule="auto"/>
        <w:rPr>
          <w:rFonts w:ascii="Palatino Linotype" w:hAnsi="Palatino Linotype"/>
        </w:rPr>
      </w:pPr>
    </w:p>
    <w:p w14:paraId="5AFD271C" w14:textId="455A1FE6" w:rsidR="004364AD" w:rsidRPr="0031636F" w:rsidRDefault="00720D8B" w:rsidP="0031636F">
      <w:pPr>
        <w:pStyle w:val="ListParagraph"/>
        <w:numPr>
          <w:ilvl w:val="0"/>
          <w:numId w:val="8"/>
        </w:numPr>
        <w:spacing w:line="240" w:lineRule="auto"/>
        <w:rPr>
          <w:rFonts w:ascii="Palatino Linotype" w:hAnsi="Palatino Linotype"/>
        </w:rPr>
      </w:pPr>
      <w:r w:rsidRPr="0031636F">
        <w:rPr>
          <w:rFonts w:ascii="Palatino Linotype" w:hAnsi="Palatino Linotype"/>
        </w:rPr>
        <w:t xml:space="preserve">100 </w:t>
      </w:r>
      <w:r w:rsidR="0012738C">
        <w:rPr>
          <w:rFonts w:ascii="Palatino Linotype" w:hAnsi="Palatino Linotype"/>
        </w:rPr>
        <w:t>words about me</w:t>
      </w:r>
      <w:r w:rsidR="00662D6B" w:rsidRPr="0031636F">
        <w:rPr>
          <w:rFonts w:ascii="Palatino Linotype" w:hAnsi="Palatino Linotype"/>
        </w:rPr>
        <w:t>:</w:t>
      </w:r>
    </w:p>
    <w:p w14:paraId="2EDE0C73" w14:textId="59E97725" w:rsidR="008C46E2" w:rsidRPr="002C6F54" w:rsidRDefault="00C6370D" w:rsidP="009954B8">
      <w:pPr>
        <w:pStyle w:val="NormalWeb"/>
        <w:spacing w:before="0" w:beforeAutospacing="0" w:after="0" w:afterAutospacing="0" w:line="280" w:lineRule="atLeast"/>
        <w:rPr>
          <w:rFonts w:ascii="Palatino Linotype" w:hAnsi="Palatino Linotype"/>
          <w:lang w:val="en-GB"/>
        </w:rPr>
      </w:pPr>
      <w:r w:rsidRPr="002C6F54">
        <w:rPr>
          <w:rFonts w:ascii="Palatino Linotype" w:hAnsi="Palatino Linotype"/>
          <w:color w:val="000000"/>
          <w:lang w:val="en-GB"/>
        </w:rPr>
        <w:t xml:space="preserve">Prof. Dr. Michael B. Buchholz, </w:t>
      </w:r>
      <w:r w:rsidR="00F87EBD" w:rsidRPr="002C6F54">
        <w:rPr>
          <w:rFonts w:ascii="Palatino Linotype" w:hAnsi="Palatino Linotype"/>
          <w:color w:val="000000"/>
          <w:lang w:val="en-GB"/>
        </w:rPr>
        <w:t>Professor for Social Psychology at International Psychoanalytic University (IPU), Berlin; Affiliative Professor</w:t>
      </w:r>
      <w:r w:rsidR="002C6F54" w:rsidRPr="002C6F54">
        <w:rPr>
          <w:rFonts w:ascii="Palatino Linotype" w:hAnsi="Palatino Linotype"/>
          <w:color w:val="000000"/>
          <w:lang w:val="en-GB"/>
        </w:rPr>
        <w:t xml:space="preserve"> of Herrman-Paul-Schoo</w:t>
      </w:r>
      <w:r w:rsidR="002C6F54">
        <w:rPr>
          <w:rFonts w:ascii="Palatino Linotype" w:hAnsi="Palatino Linotype"/>
          <w:color w:val="000000"/>
          <w:lang w:val="en-GB"/>
        </w:rPr>
        <w:t>l for Linguistics (Freiburg/Basel); Senior Research Fellow at FRIAS (Freiburg</w:t>
      </w:r>
      <w:r w:rsidR="00835F55">
        <w:rPr>
          <w:rFonts w:ascii="Palatino Linotype" w:hAnsi="Palatino Linotype"/>
          <w:color w:val="000000"/>
          <w:lang w:val="en-GB"/>
        </w:rPr>
        <w:t>, Winter 2017-18). Fully trained psychoanalyst.</w:t>
      </w:r>
    </w:p>
    <w:p w14:paraId="17906B2D" w14:textId="77777777" w:rsidR="008C46E2" w:rsidRPr="002C6F54" w:rsidRDefault="008C46E2" w:rsidP="004364AD">
      <w:pPr>
        <w:pStyle w:val="ListParagraph"/>
        <w:rPr>
          <w:rFonts w:ascii="Palatino Linotype" w:hAnsi="Palatino Linotype"/>
          <w:lang w:val="en-GB"/>
        </w:rPr>
      </w:pPr>
    </w:p>
    <w:p w14:paraId="6F4A3600" w14:textId="00967030" w:rsidR="00662D6B" w:rsidRPr="0031636F" w:rsidRDefault="0012738C" w:rsidP="00662D6B">
      <w:pPr>
        <w:pStyle w:val="ListParagraph"/>
        <w:numPr>
          <w:ilvl w:val="0"/>
          <w:numId w:val="5"/>
        </w:numPr>
        <w:rPr>
          <w:rFonts w:ascii="Palatino Linotype" w:hAnsi="Palatino Linotype"/>
        </w:rPr>
      </w:pPr>
      <w:r>
        <w:rPr>
          <w:rFonts w:ascii="Palatino Linotype" w:hAnsi="Palatino Linotype"/>
        </w:rPr>
        <w:t>Research</w:t>
      </w:r>
      <w:r w:rsidR="00662D6B" w:rsidRPr="0031636F">
        <w:rPr>
          <w:rFonts w:ascii="Palatino Linotype" w:hAnsi="Palatino Linotype"/>
        </w:rPr>
        <w:t>:</w:t>
      </w:r>
    </w:p>
    <w:p w14:paraId="788FB99B" w14:textId="70AA143A" w:rsidR="009954B8" w:rsidRPr="0012738C" w:rsidRDefault="00FF3694" w:rsidP="009954B8">
      <w:pPr>
        <w:pStyle w:val="NormalWeb"/>
        <w:spacing w:before="0" w:beforeAutospacing="0" w:after="0" w:afterAutospacing="0" w:line="280" w:lineRule="atLeast"/>
        <w:rPr>
          <w:rFonts w:ascii="Palatino Linotype" w:hAnsi="Palatino Linotype"/>
          <w:color w:val="500050"/>
          <w:lang w:val="en-US"/>
        </w:rPr>
      </w:pPr>
      <w:r>
        <w:rPr>
          <w:rFonts w:ascii="Palatino Linotype" w:hAnsi="Palatino Linotype"/>
          <w:color w:val="000000"/>
          <w:lang w:val="en-US"/>
        </w:rPr>
        <w:t xml:space="preserve">Therapeutic dialogue studied by Conversation Analysis, cognitive linguistic theory of metaphors, </w:t>
      </w:r>
      <w:r w:rsidR="000658A9">
        <w:rPr>
          <w:rFonts w:ascii="Palatino Linotype" w:hAnsi="Palatino Linotype"/>
          <w:color w:val="000000"/>
          <w:lang w:val="en-US"/>
        </w:rPr>
        <w:t xml:space="preserve">Violence in interaction, history of psychotherapy, </w:t>
      </w:r>
      <w:r w:rsidR="002374C8">
        <w:rPr>
          <w:rFonts w:ascii="Palatino Linotype" w:hAnsi="Palatino Linotype"/>
          <w:color w:val="000000"/>
          <w:lang w:val="en-US"/>
        </w:rPr>
        <w:t>fields of common interest between psychotherapy and linguistics</w:t>
      </w:r>
    </w:p>
    <w:p w14:paraId="2215390F" w14:textId="77777777" w:rsidR="004364AD" w:rsidRPr="0012738C" w:rsidRDefault="004364AD" w:rsidP="004364AD">
      <w:pPr>
        <w:pStyle w:val="ListParagraph"/>
        <w:rPr>
          <w:rFonts w:ascii="Palatino Linotype" w:hAnsi="Palatino Linotype"/>
          <w:lang w:val="en-US"/>
        </w:rPr>
      </w:pPr>
    </w:p>
    <w:p w14:paraId="1131EBF9" w14:textId="1EF3D421" w:rsidR="00662D6B" w:rsidRPr="0012738C" w:rsidRDefault="0012738C" w:rsidP="00662D6B">
      <w:pPr>
        <w:pStyle w:val="ListParagraph"/>
        <w:numPr>
          <w:ilvl w:val="0"/>
          <w:numId w:val="5"/>
        </w:numPr>
        <w:rPr>
          <w:rFonts w:ascii="Palatino Linotype" w:hAnsi="Palatino Linotype"/>
          <w:lang w:val="en-US"/>
        </w:rPr>
      </w:pPr>
      <w:r w:rsidRPr="0012738C">
        <w:rPr>
          <w:rFonts w:ascii="Palatino Linotype" w:hAnsi="Palatino Linotype"/>
          <w:lang w:val="en-US"/>
        </w:rPr>
        <w:t>Read it!</w:t>
      </w:r>
      <w:r w:rsidR="00662D6B" w:rsidRPr="0012738C">
        <w:rPr>
          <w:rFonts w:ascii="Palatino Linotype" w:hAnsi="Palatino Linotype"/>
          <w:lang w:val="en-US"/>
        </w:rPr>
        <w:t xml:space="preserve"> – </w:t>
      </w:r>
      <w:r w:rsidR="00A00F3A" w:rsidRPr="0012738C">
        <w:rPr>
          <w:rFonts w:ascii="Palatino Linotype" w:hAnsi="Palatino Linotype"/>
          <w:lang w:val="en-US"/>
        </w:rPr>
        <w:t xml:space="preserve"> </w:t>
      </w:r>
      <w:r w:rsidR="0031636F" w:rsidRPr="0012738C">
        <w:rPr>
          <w:rFonts w:ascii="Palatino Linotype" w:hAnsi="Palatino Linotype"/>
          <w:lang w:val="en-US"/>
        </w:rPr>
        <w:t>10</w:t>
      </w:r>
      <w:r w:rsidR="00A00F3A" w:rsidRPr="0012738C">
        <w:rPr>
          <w:rFonts w:ascii="Palatino Linotype" w:hAnsi="Palatino Linotype"/>
          <w:lang w:val="en-US"/>
        </w:rPr>
        <w:t xml:space="preserve"> </w:t>
      </w:r>
      <w:r w:rsidRPr="0012738C">
        <w:rPr>
          <w:rFonts w:ascii="Palatino Linotype" w:hAnsi="Palatino Linotype"/>
          <w:lang w:val="en-US"/>
        </w:rPr>
        <w:t>publications of the</w:t>
      </w:r>
      <w:r>
        <w:rPr>
          <w:rFonts w:ascii="Palatino Linotype" w:hAnsi="Palatino Linotype"/>
          <w:lang w:val="en-US"/>
        </w:rPr>
        <w:t xml:space="preserve"> last 10</w:t>
      </w:r>
      <w:r w:rsidR="0031636F" w:rsidRPr="0012738C">
        <w:rPr>
          <w:rFonts w:ascii="Palatino Linotype" w:hAnsi="Palatino Linotype"/>
          <w:lang w:val="en-US"/>
        </w:rPr>
        <w:t xml:space="preserve"> </w:t>
      </w:r>
      <w:r>
        <w:rPr>
          <w:rFonts w:ascii="Palatino Linotype" w:hAnsi="Palatino Linotype"/>
          <w:lang w:val="en-US"/>
        </w:rPr>
        <w:t>years</w:t>
      </w:r>
      <w:r w:rsidR="00662D6B" w:rsidRPr="0012738C">
        <w:rPr>
          <w:rFonts w:ascii="Palatino Linotype" w:hAnsi="Palatino Linotype"/>
          <w:lang w:val="en-US"/>
        </w:rPr>
        <w:t>:</w:t>
      </w:r>
    </w:p>
    <w:p w14:paraId="5799C2DE" w14:textId="77777777" w:rsidR="009954B8" w:rsidRPr="00FA6801" w:rsidRDefault="009954B8" w:rsidP="00A00F3A">
      <w:pPr>
        <w:pStyle w:val="Bibliolist1"/>
        <w:numPr>
          <w:ilvl w:val="0"/>
          <w:numId w:val="0"/>
        </w:numPr>
        <w:ind w:left="786"/>
        <w:rPr>
          <w:rFonts w:ascii="Palatino Linotype" w:hAnsi="Palatino Linotype"/>
          <w:sz w:val="20"/>
          <w:szCs w:val="20"/>
          <w:lang w:val="en-GB"/>
        </w:rPr>
      </w:pPr>
    </w:p>
    <w:p w14:paraId="4FCA77B8" w14:textId="4BE89593" w:rsidR="00FA6801" w:rsidRPr="00FA6801" w:rsidRDefault="00FA6801" w:rsidP="00FA6801">
      <w:pPr>
        <w:pStyle w:val="CitaviLiteraturverzeichnis"/>
        <w:numPr>
          <w:ilvl w:val="0"/>
          <w:numId w:val="9"/>
        </w:numPr>
        <w:spacing w:before="120" w:line="240" w:lineRule="atLeast"/>
        <w:rPr>
          <w:rFonts w:ascii="Palatino Linotype" w:hAnsi="Palatino Linotype" w:cs="Palatino Linotype"/>
        </w:rPr>
      </w:pPr>
      <w:r>
        <w:t xml:space="preserve">Brandstetter, G., Buchholz, M. B., Hamburger, A., &amp; Wulf, C. (Eds.). (2018). </w:t>
      </w:r>
      <w:r>
        <w:rPr>
          <w:i/>
          <w:iCs/>
        </w:rPr>
        <w:t>Balance - Rhythmus - Resonanz - Sonderheft der Zeitschrift Paragrana, Internationale Zeitschrift für Historische Anthropologie, Band 27, Heft 1</w:t>
      </w:r>
      <w:r>
        <w:t>. Berlin: Walter de Gruyter.</w:t>
      </w:r>
    </w:p>
    <w:p w14:paraId="5AB39520" w14:textId="77777777" w:rsidR="00DD5345" w:rsidRPr="00DD5345" w:rsidRDefault="00DD5345" w:rsidP="00DD5345">
      <w:pPr>
        <w:pStyle w:val="ListParagraph"/>
        <w:numPr>
          <w:ilvl w:val="0"/>
          <w:numId w:val="9"/>
        </w:numPr>
        <w:spacing w:after="60" w:line="240" w:lineRule="atLeast"/>
        <w:rPr>
          <w:rFonts w:ascii="Palatino Linotype" w:eastAsia="Times New Roman" w:hAnsi="Palatino Linotype" w:cs="Palatino Linotype"/>
          <w:sz w:val="18"/>
          <w:szCs w:val="18"/>
          <w:lang w:val="en-GB" w:eastAsia="ja-JP"/>
        </w:rPr>
      </w:pPr>
      <w:r w:rsidRPr="00DD5345">
        <w:rPr>
          <w:rFonts w:ascii="Segoe UI" w:eastAsia="Times New Roman" w:hAnsi="Segoe UI" w:cs="Segoe UI"/>
          <w:sz w:val="18"/>
          <w:szCs w:val="18"/>
          <w:lang w:eastAsia="ja-JP"/>
        </w:rPr>
        <w:t xml:space="preserve">Buchholz, M. B., &amp; Kächele, H. (2017). </w:t>
      </w:r>
      <w:r w:rsidRPr="00DD5345">
        <w:rPr>
          <w:rFonts w:ascii="Segoe UI" w:eastAsia="Times New Roman" w:hAnsi="Segoe UI" w:cs="Segoe UI"/>
          <w:sz w:val="18"/>
          <w:szCs w:val="18"/>
          <w:lang w:val="en-GB" w:eastAsia="ja-JP"/>
        </w:rPr>
        <w:t xml:space="preserve">From turn-by-turn to larger chunks of talk: An exploratory study in psychotherapeutic micro-processes using conversation analysis. </w:t>
      </w:r>
      <w:r w:rsidRPr="00DD5345">
        <w:rPr>
          <w:rFonts w:ascii="Segoe UI" w:eastAsia="Times New Roman" w:hAnsi="Segoe UI" w:cs="Segoe UI"/>
          <w:i/>
          <w:iCs/>
          <w:sz w:val="18"/>
          <w:szCs w:val="18"/>
          <w:lang w:val="en-GB" w:eastAsia="ja-JP"/>
        </w:rPr>
        <w:t>Research in Psychotherapy: Psychopathology, Process and Outcome</w:t>
      </w:r>
      <w:r w:rsidRPr="00DD5345">
        <w:rPr>
          <w:rFonts w:ascii="Segoe UI" w:eastAsia="Times New Roman" w:hAnsi="Segoe UI" w:cs="Segoe UI"/>
          <w:sz w:val="18"/>
          <w:szCs w:val="18"/>
          <w:lang w:val="en-GB" w:eastAsia="ja-JP"/>
        </w:rPr>
        <w:t xml:space="preserve">, </w:t>
      </w:r>
      <w:r w:rsidRPr="00DD5345">
        <w:rPr>
          <w:rFonts w:ascii="Segoe UI" w:eastAsia="Times New Roman" w:hAnsi="Segoe UI" w:cs="Segoe UI"/>
          <w:i/>
          <w:iCs/>
          <w:sz w:val="18"/>
          <w:szCs w:val="18"/>
          <w:lang w:val="en-GB" w:eastAsia="ja-JP"/>
        </w:rPr>
        <w:t>20</w:t>
      </w:r>
      <w:r w:rsidRPr="00DD5345">
        <w:rPr>
          <w:rFonts w:ascii="Segoe UI" w:eastAsia="Times New Roman" w:hAnsi="Segoe UI" w:cs="Segoe UI"/>
          <w:sz w:val="18"/>
          <w:szCs w:val="18"/>
          <w:lang w:val="en-GB" w:eastAsia="ja-JP"/>
        </w:rPr>
        <w:t>, 161–178. https://doi.org/10.4081/ripppo.2017.257</w:t>
      </w:r>
    </w:p>
    <w:p w14:paraId="76AB9371" w14:textId="77777777" w:rsidR="00D14F85" w:rsidRPr="00D14F85" w:rsidRDefault="00D14F85" w:rsidP="00D14F85">
      <w:pPr>
        <w:pStyle w:val="ListParagraph"/>
        <w:numPr>
          <w:ilvl w:val="0"/>
          <w:numId w:val="9"/>
        </w:numPr>
        <w:spacing w:after="60" w:line="240" w:lineRule="atLeast"/>
        <w:rPr>
          <w:rFonts w:ascii="Palatino Linotype" w:eastAsia="Times New Roman" w:hAnsi="Palatino Linotype" w:cs="Palatino Linotype"/>
          <w:sz w:val="18"/>
          <w:szCs w:val="18"/>
          <w:lang w:eastAsia="ja-JP"/>
        </w:rPr>
      </w:pPr>
      <w:r w:rsidRPr="00D14F85">
        <w:rPr>
          <w:rFonts w:ascii="Segoe UI" w:eastAsia="Times New Roman" w:hAnsi="Segoe UI" w:cs="Segoe UI"/>
          <w:sz w:val="18"/>
          <w:szCs w:val="18"/>
          <w:lang w:eastAsia="ja-JP"/>
        </w:rPr>
        <w:t xml:space="preserve">Alder, M.-L., &amp; Buchholz, M. B. (2017). Kommunikative Gewalt in der Psychotherapie. In S. Bonacchi (Ed.), </w:t>
      </w:r>
      <w:r w:rsidRPr="00D14F85">
        <w:rPr>
          <w:rFonts w:ascii="Segoe UI" w:eastAsia="Times New Roman" w:hAnsi="Segoe UI" w:cs="Segoe UI"/>
          <w:i/>
          <w:iCs/>
          <w:sz w:val="18"/>
          <w:szCs w:val="18"/>
          <w:lang w:eastAsia="ja-JP"/>
        </w:rPr>
        <w:t xml:space="preserve">Verbale Aggression. Multidisziplinäre Zugänge zur verletzenden Macht der Sprache </w:t>
      </w:r>
      <w:r w:rsidRPr="00D14F85">
        <w:rPr>
          <w:rFonts w:ascii="Segoe UI" w:eastAsia="Times New Roman" w:hAnsi="Segoe UI" w:cs="Segoe UI"/>
          <w:sz w:val="18"/>
          <w:szCs w:val="18"/>
          <w:lang w:eastAsia="ja-JP"/>
        </w:rPr>
        <w:t>(pp. 171–208). Berlin: de Gruyter.</w:t>
      </w:r>
    </w:p>
    <w:p w14:paraId="71EF72DF" w14:textId="18F1871F" w:rsidR="003A70E9" w:rsidRPr="003A70E9" w:rsidRDefault="00F62AE4" w:rsidP="003A70E9">
      <w:pPr>
        <w:pStyle w:val="ListParagraph"/>
        <w:numPr>
          <w:ilvl w:val="0"/>
          <w:numId w:val="9"/>
        </w:numPr>
        <w:spacing w:after="60" w:line="240" w:lineRule="atLeast"/>
        <w:rPr>
          <w:rFonts w:ascii="Palatino Linotype" w:eastAsia="Times New Roman" w:hAnsi="Palatino Linotype" w:cs="Palatino Linotype"/>
          <w:sz w:val="18"/>
          <w:szCs w:val="18"/>
          <w:lang w:eastAsia="ja-JP"/>
        </w:rPr>
      </w:pPr>
      <w:r w:rsidRPr="00F62AE4">
        <w:rPr>
          <w:rFonts w:ascii="Segoe UI" w:eastAsia="Times New Roman" w:hAnsi="Segoe UI" w:cs="Segoe UI"/>
          <w:sz w:val="18"/>
          <w:szCs w:val="18"/>
          <w:lang w:val="en-GB" w:eastAsia="ja-JP"/>
        </w:rPr>
        <w:t xml:space="preserve">Buchholz, M. B. (2017). Conversation Analytic Studies of Psychoanalytic Dialogue - An Introduction to this Special Volume. </w:t>
      </w:r>
      <w:r w:rsidRPr="00F62AE4">
        <w:rPr>
          <w:rFonts w:ascii="Segoe UI" w:eastAsia="Times New Roman" w:hAnsi="Segoe UI" w:cs="Segoe UI"/>
          <w:i/>
          <w:iCs/>
          <w:sz w:val="18"/>
          <w:szCs w:val="18"/>
          <w:lang w:eastAsia="ja-JP"/>
        </w:rPr>
        <w:t>Language and Psychoanalysis</w:t>
      </w:r>
      <w:r w:rsidRPr="00F62AE4">
        <w:rPr>
          <w:rFonts w:ascii="Segoe UI" w:eastAsia="Times New Roman" w:hAnsi="Segoe UI" w:cs="Segoe UI"/>
          <w:sz w:val="18"/>
          <w:szCs w:val="18"/>
          <w:lang w:eastAsia="ja-JP"/>
        </w:rPr>
        <w:t xml:space="preserve">, </w:t>
      </w:r>
      <w:r w:rsidRPr="00F62AE4">
        <w:rPr>
          <w:rFonts w:ascii="Segoe UI" w:eastAsia="Times New Roman" w:hAnsi="Segoe UI" w:cs="Segoe UI"/>
          <w:i/>
          <w:iCs/>
          <w:sz w:val="18"/>
          <w:szCs w:val="18"/>
          <w:lang w:eastAsia="ja-JP"/>
        </w:rPr>
        <w:t>5</w:t>
      </w:r>
      <w:r w:rsidRPr="00F62AE4">
        <w:rPr>
          <w:rFonts w:ascii="Segoe UI" w:eastAsia="Times New Roman" w:hAnsi="Segoe UI" w:cs="Segoe UI"/>
          <w:sz w:val="18"/>
          <w:szCs w:val="18"/>
          <w:lang w:eastAsia="ja-JP"/>
        </w:rPr>
        <w:t>(2), 4–10. https://doi.org/10.7565/landp.v5i2.1556</w:t>
      </w:r>
    </w:p>
    <w:p w14:paraId="79BE71FD" w14:textId="77777777" w:rsidR="003C1EFA" w:rsidRPr="003C1EFA" w:rsidRDefault="006E5119" w:rsidP="00787669">
      <w:pPr>
        <w:pStyle w:val="ListParagraph"/>
        <w:numPr>
          <w:ilvl w:val="0"/>
          <w:numId w:val="9"/>
        </w:numPr>
        <w:spacing w:after="60" w:line="240" w:lineRule="atLeast"/>
        <w:rPr>
          <w:rFonts w:ascii="Segoe UI" w:eastAsia="Times New Roman" w:hAnsi="Segoe UI" w:cs="Segoe UI"/>
          <w:sz w:val="18"/>
          <w:szCs w:val="18"/>
          <w:lang w:val="en-GB" w:eastAsia="ja-JP"/>
        </w:rPr>
      </w:pPr>
      <w:r w:rsidRPr="006E5119">
        <w:rPr>
          <w:rFonts w:ascii="Segoe UI" w:eastAsia="Times New Roman" w:hAnsi="Segoe UI" w:cs="Segoe UI"/>
          <w:sz w:val="18"/>
          <w:szCs w:val="18"/>
          <w:lang w:val="en-GB" w:eastAsia="ja-JP"/>
        </w:rPr>
        <w:t xml:space="preserve">Buchholz, M. B. (2016). Conversational Errors and Common Ground Activities in Psychotherapy - Insights from Conversation Analysis. </w:t>
      </w:r>
      <w:r w:rsidRPr="006E5119">
        <w:rPr>
          <w:rFonts w:ascii="Segoe UI" w:eastAsia="Times New Roman" w:hAnsi="Segoe UI" w:cs="Segoe UI"/>
          <w:i/>
          <w:iCs/>
          <w:sz w:val="18"/>
          <w:szCs w:val="18"/>
          <w:lang w:eastAsia="ja-JP"/>
        </w:rPr>
        <w:t>International Journal of Psychological Studies</w:t>
      </w:r>
      <w:r w:rsidRPr="006E5119">
        <w:rPr>
          <w:rFonts w:ascii="Segoe UI" w:eastAsia="Times New Roman" w:hAnsi="Segoe UI" w:cs="Segoe UI"/>
          <w:sz w:val="18"/>
          <w:szCs w:val="18"/>
          <w:lang w:eastAsia="ja-JP"/>
        </w:rPr>
        <w:t xml:space="preserve">, </w:t>
      </w:r>
      <w:r w:rsidRPr="006E5119">
        <w:rPr>
          <w:rFonts w:ascii="Segoe UI" w:eastAsia="Times New Roman" w:hAnsi="Segoe UI" w:cs="Segoe UI"/>
          <w:i/>
          <w:iCs/>
          <w:sz w:val="18"/>
          <w:szCs w:val="18"/>
          <w:lang w:eastAsia="ja-JP"/>
        </w:rPr>
        <w:t>8</w:t>
      </w:r>
      <w:r w:rsidRPr="006E5119">
        <w:rPr>
          <w:rFonts w:ascii="Segoe UI" w:eastAsia="Times New Roman" w:hAnsi="Segoe UI" w:cs="Segoe UI"/>
          <w:sz w:val="18"/>
          <w:szCs w:val="18"/>
          <w:lang w:eastAsia="ja-JP"/>
        </w:rPr>
        <w:t xml:space="preserve">(3), 134–153. </w:t>
      </w:r>
      <w:hyperlink r:id="rId9" w:history="1">
        <w:r w:rsidR="00787669" w:rsidRPr="00C04A04">
          <w:rPr>
            <w:rStyle w:val="Hyperlink"/>
            <w:rFonts w:ascii="Segoe UI" w:eastAsia="Times New Roman" w:hAnsi="Segoe UI" w:cs="Segoe UI"/>
            <w:sz w:val="18"/>
            <w:szCs w:val="18"/>
            <w:lang w:eastAsia="ja-JP"/>
          </w:rPr>
          <w:t>https://doi.org/10.5539/ijps.v8n3p134</w:t>
        </w:r>
      </w:hyperlink>
      <w:r w:rsidR="00787669">
        <w:rPr>
          <w:rFonts w:ascii="Segoe UI" w:eastAsia="Times New Roman" w:hAnsi="Segoe UI" w:cs="Segoe UI"/>
          <w:sz w:val="18"/>
          <w:szCs w:val="18"/>
          <w:lang w:eastAsia="ja-JP"/>
        </w:rPr>
        <w:t xml:space="preserve">; </w:t>
      </w:r>
    </w:p>
    <w:p w14:paraId="7698A7A1" w14:textId="21093838" w:rsidR="00787669" w:rsidRPr="001640F0" w:rsidRDefault="005C450B" w:rsidP="00787669">
      <w:pPr>
        <w:pStyle w:val="ListParagraph"/>
        <w:numPr>
          <w:ilvl w:val="0"/>
          <w:numId w:val="9"/>
        </w:numPr>
        <w:spacing w:after="60" w:line="240" w:lineRule="atLeast"/>
        <w:rPr>
          <w:rFonts w:ascii="Segoe UI" w:eastAsia="Times New Roman" w:hAnsi="Segoe UI" w:cs="Segoe UI"/>
          <w:sz w:val="18"/>
          <w:szCs w:val="18"/>
          <w:lang w:val="en-GB" w:eastAsia="ja-JP"/>
        </w:rPr>
      </w:pPr>
      <w:r w:rsidRPr="003C1EFA">
        <w:rPr>
          <w:rFonts w:ascii="Segoe UI" w:eastAsia="Times New Roman" w:hAnsi="Segoe UI" w:cs="Segoe UI"/>
          <w:sz w:val="18"/>
          <w:szCs w:val="18"/>
          <w:lang w:eastAsia="ja-JP"/>
        </w:rPr>
        <w:t xml:space="preserve">Buchholz, M. B., Spiekermann, J., &amp; Kächele, H. (2015). </w:t>
      </w:r>
      <w:r w:rsidRPr="001640F0">
        <w:rPr>
          <w:rFonts w:ascii="Segoe UI" w:eastAsia="Times New Roman" w:hAnsi="Segoe UI" w:cs="Segoe UI"/>
          <w:sz w:val="18"/>
          <w:szCs w:val="18"/>
          <w:lang w:val="en-GB" w:eastAsia="ja-JP"/>
        </w:rPr>
        <w:t xml:space="preserve">Rhythm and Blues - Amalie's 152nd session. From Psychoanalysis to Conversation and Metaphor Analysis - and back again. </w:t>
      </w:r>
      <w:r w:rsidRPr="001640F0">
        <w:rPr>
          <w:rFonts w:ascii="Segoe UI" w:eastAsia="Times New Roman" w:hAnsi="Segoe UI" w:cs="Segoe UI"/>
          <w:sz w:val="18"/>
          <w:szCs w:val="18"/>
          <w:lang w:eastAsia="ja-JP"/>
        </w:rPr>
        <w:t xml:space="preserve">Int. J. Psychoanal., 96(3), 877–910.; </w:t>
      </w:r>
      <w:r w:rsidR="001640F0" w:rsidRPr="001640F0">
        <w:rPr>
          <w:rFonts w:ascii="Segoe UI" w:eastAsia="Times New Roman" w:hAnsi="Segoe UI" w:cs="Segoe UI"/>
          <w:sz w:val="18"/>
          <w:szCs w:val="18"/>
          <w:lang w:eastAsia="ja-JP"/>
        </w:rPr>
        <w:t xml:space="preserve"> </w:t>
      </w:r>
      <w:r w:rsidR="001640F0">
        <w:rPr>
          <w:rFonts w:ascii="Segoe UI" w:eastAsia="Times New Roman" w:hAnsi="Segoe UI" w:cs="Segoe UI"/>
          <w:sz w:val="18"/>
          <w:szCs w:val="18"/>
          <w:lang w:eastAsia="ja-JP"/>
        </w:rPr>
        <w:t xml:space="preserve">   </w:t>
      </w:r>
      <w:r w:rsidR="00787669" w:rsidRPr="001640F0">
        <w:rPr>
          <w:rFonts w:ascii="Segoe UI" w:eastAsia="Times New Roman" w:hAnsi="Segoe UI" w:cs="Segoe UI"/>
          <w:sz w:val="18"/>
          <w:szCs w:val="18"/>
          <w:lang w:eastAsia="ja-JP"/>
        </w:rPr>
        <w:t xml:space="preserve">Buchholz, M. B., Spiekermann, J., &amp; Kächele, H. (2016). </w:t>
      </w:r>
      <w:r w:rsidR="00787669" w:rsidRPr="001640F0">
        <w:rPr>
          <w:rFonts w:ascii="Segoe UI" w:eastAsia="Times New Roman" w:hAnsi="Segoe UI" w:cs="Segoe UI"/>
          <w:sz w:val="18"/>
          <w:szCs w:val="18"/>
          <w:lang w:val="en-GB" w:eastAsia="ja-JP"/>
        </w:rPr>
        <w:t>Ritmo y Blues. La sesión 152 de Amalia. Desde el Psicoanálisis al Análisis de la Conversación y la Metáfora, y de vuelta al Psicoanálisis. Clínica E Investigación Relacional, 10(2), 490–532. https://doi.org/10.21110/19882939.2016.100210</w:t>
      </w:r>
    </w:p>
    <w:p w14:paraId="039601B7" w14:textId="77777777" w:rsidR="003C5F49" w:rsidRDefault="003C5F49" w:rsidP="003C5F49">
      <w:pPr>
        <w:pStyle w:val="CitaviLiteraturverzeichnis"/>
        <w:numPr>
          <w:ilvl w:val="0"/>
          <w:numId w:val="9"/>
        </w:numPr>
        <w:spacing w:line="276" w:lineRule="auto"/>
        <w:rPr>
          <w:rFonts w:ascii="Palatino Linotype" w:hAnsi="Palatino Linotype" w:cs="Palatino Linotype"/>
        </w:rPr>
      </w:pPr>
      <w:r>
        <w:t xml:space="preserve">Buchholz, M. B., &amp; Reich, U. (2015). </w:t>
      </w:r>
      <w:r w:rsidRPr="003C5F49">
        <w:rPr>
          <w:lang w:val="en-GB"/>
        </w:rPr>
        <w:t xml:space="preserve">Dancing Insight. How a Psychotherapist uses Change of Positioning in Order to Complement Split-Off Areas of Experience. </w:t>
      </w:r>
      <w:r>
        <w:rPr>
          <w:i/>
          <w:iCs/>
        </w:rPr>
        <w:t>Chaos and Complexity Letters</w:t>
      </w:r>
      <w:r>
        <w:t xml:space="preserve">, </w:t>
      </w:r>
      <w:r>
        <w:rPr>
          <w:i/>
          <w:iCs/>
        </w:rPr>
        <w:t>8</w:t>
      </w:r>
      <w:r>
        <w:t>(2-3), 121–146. Retrieved from ISSN: 1556-3995</w:t>
      </w:r>
    </w:p>
    <w:p w14:paraId="3A9E8B32" w14:textId="77777777" w:rsidR="003E38BA" w:rsidRDefault="003E38BA" w:rsidP="003E38BA">
      <w:pPr>
        <w:pStyle w:val="CitaviLiteraturverzeichnis"/>
        <w:numPr>
          <w:ilvl w:val="0"/>
          <w:numId w:val="9"/>
        </w:numPr>
        <w:spacing w:line="276" w:lineRule="auto"/>
        <w:rPr>
          <w:rFonts w:ascii="Palatino Linotype" w:hAnsi="Palatino Linotype" w:cs="Palatino Linotype"/>
        </w:rPr>
      </w:pPr>
      <w:r w:rsidRPr="003E38BA">
        <w:rPr>
          <w:lang w:val="en-GB"/>
        </w:rPr>
        <w:t xml:space="preserve">Buchholz, M. B. (2015). Listening to Words, Seeing Images - Metaphors of emotional involvement and the movement of the metaphor. </w:t>
      </w:r>
      <w:r>
        <w:rPr>
          <w:i/>
          <w:iCs/>
        </w:rPr>
        <w:t>Psychoanalytic Discourse</w:t>
      </w:r>
      <w:r>
        <w:t xml:space="preserve">, </w:t>
      </w:r>
      <w:r>
        <w:rPr>
          <w:i/>
          <w:iCs/>
        </w:rPr>
        <w:t>1</w:t>
      </w:r>
      <w:r>
        <w:t>(1), 20–38.</w:t>
      </w:r>
    </w:p>
    <w:p w14:paraId="68C06FD6" w14:textId="77777777" w:rsidR="001640F0" w:rsidRPr="001640F0" w:rsidRDefault="001640F0" w:rsidP="001640F0">
      <w:pPr>
        <w:pStyle w:val="CitaviLiteraturverzeichnis"/>
        <w:numPr>
          <w:ilvl w:val="0"/>
          <w:numId w:val="9"/>
        </w:numPr>
        <w:spacing w:line="276" w:lineRule="auto"/>
        <w:rPr>
          <w:rFonts w:ascii="Palatino Linotype" w:hAnsi="Palatino Linotype" w:cs="Palatino Linotype"/>
          <w:lang w:val="en-GB"/>
        </w:rPr>
      </w:pPr>
      <w:r>
        <w:t xml:space="preserve">Buchholz, M. B., &amp; Kächele, H. (2015). </w:t>
      </w:r>
      <w:r w:rsidRPr="001640F0">
        <w:rPr>
          <w:lang w:val="en-GB"/>
        </w:rPr>
        <w:t xml:space="preserve">Emergency SMS-based intervention in chronic suicidality: a research project using conversation analysis. In J. S. Scharff (Ed.), </w:t>
      </w:r>
      <w:r w:rsidRPr="001640F0">
        <w:rPr>
          <w:i/>
          <w:iCs/>
          <w:lang w:val="en-GB"/>
        </w:rPr>
        <w:t xml:space="preserve">Library of Technology and Mental Health. Psychoanalysis Online 2. Impact on Development, Training and Therapy </w:t>
      </w:r>
      <w:r w:rsidRPr="001640F0">
        <w:rPr>
          <w:lang w:val="en-GB"/>
        </w:rPr>
        <w:t>(pp. 145–161). Boston: Karnac.</w:t>
      </w:r>
    </w:p>
    <w:p w14:paraId="708D9588" w14:textId="77777777" w:rsidR="001640F0" w:rsidRDefault="001640F0" w:rsidP="001640F0">
      <w:pPr>
        <w:pStyle w:val="CitaviLiteraturverzeichnis"/>
        <w:numPr>
          <w:ilvl w:val="0"/>
          <w:numId w:val="9"/>
        </w:numPr>
        <w:spacing w:line="276" w:lineRule="auto"/>
        <w:rPr>
          <w:rFonts w:ascii="Palatino Linotype" w:hAnsi="Palatino Linotype" w:cs="Palatino Linotype"/>
        </w:rPr>
      </w:pPr>
      <w:r w:rsidRPr="001640F0">
        <w:rPr>
          <w:lang w:val="en-GB"/>
        </w:rPr>
        <w:t xml:space="preserve">Buchholz, M. B. (2014). Patterns of empathy as embodied practice in clinical conversation - a musical dimension.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 xml:space="preserve">5. </w:t>
      </w:r>
      <w:r>
        <w:t>https://doi.org/10.3389/fpsyg.2014.00349</w:t>
      </w:r>
    </w:p>
    <w:p w14:paraId="34BF0371" w14:textId="77777777" w:rsidR="00FA6801" w:rsidRPr="001640F0" w:rsidRDefault="00FA6801" w:rsidP="001640F0">
      <w:pPr>
        <w:spacing w:after="60" w:line="240" w:lineRule="atLeast"/>
        <w:ind w:left="360"/>
        <w:rPr>
          <w:rFonts w:ascii="Palatino Linotype" w:eastAsia="Times New Roman" w:hAnsi="Palatino Linotype" w:cs="Palatino Linotype"/>
          <w:sz w:val="18"/>
          <w:szCs w:val="18"/>
          <w:lang w:val="en-GB" w:eastAsia="ja-JP"/>
        </w:rPr>
      </w:pPr>
    </w:p>
    <w:p w14:paraId="26116E83" w14:textId="77777777" w:rsidR="00A00F3A" w:rsidRPr="00DD5345" w:rsidRDefault="00A00F3A" w:rsidP="009954B8">
      <w:pPr>
        <w:pStyle w:val="ListParagraph"/>
        <w:rPr>
          <w:rFonts w:ascii="Palatino Linotype" w:hAnsi="Palatino Linotype"/>
          <w:lang w:val="en-GB"/>
        </w:rPr>
      </w:pPr>
    </w:p>
    <w:p w14:paraId="330167C4" w14:textId="1A9E29EB" w:rsidR="000909A2" w:rsidRPr="00287FE6" w:rsidRDefault="0012738C" w:rsidP="00287FE6">
      <w:pPr>
        <w:pStyle w:val="ListParagraph"/>
        <w:numPr>
          <w:ilvl w:val="0"/>
          <w:numId w:val="5"/>
        </w:numPr>
        <w:rPr>
          <w:rFonts w:ascii="Palatino Linotype" w:hAnsi="Palatino Linotype"/>
          <w:lang w:val="en-US"/>
        </w:rPr>
      </w:pPr>
      <w:r w:rsidRPr="0012738C">
        <w:rPr>
          <w:rFonts w:ascii="Palatino Linotype" w:hAnsi="Palatino Linotype"/>
          <w:lang w:val="en-US"/>
        </w:rPr>
        <w:t>Title of my contribution</w:t>
      </w:r>
      <w:r w:rsidR="00662D6B" w:rsidRPr="0012738C">
        <w:rPr>
          <w:rFonts w:ascii="Palatino Linotype" w:hAnsi="Palatino Linotype"/>
          <w:lang w:val="en-US"/>
        </w:rPr>
        <w:t xml:space="preserve"> + </w:t>
      </w:r>
      <w:r w:rsidRPr="0012738C">
        <w:rPr>
          <w:rFonts w:ascii="Palatino Linotype" w:hAnsi="Palatino Linotype"/>
          <w:lang w:val="en-US"/>
        </w:rPr>
        <w:t>summary of the abstract in 3</w:t>
      </w:r>
      <w:r w:rsidR="00662D6B" w:rsidRPr="0012738C">
        <w:rPr>
          <w:rFonts w:ascii="Palatino Linotype" w:hAnsi="Palatino Linotype"/>
          <w:lang w:val="en-US"/>
        </w:rPr>
        <w:t xml:space="preserve"> (!) </w:t>
      </w:r>
      <w:r>
        <w:rPr>
          <w:rFonts w:ascii="Palatino Linotype" w:hAnsi="Palatino Linotype"/>
          <w:lang w:val="en-US"/>
        </w:rPr>
        <w:t>sentences</w:t>
      </w:r>
      <w:r w:rsidR="000909A2" w:rsidRPr="00287FE6">
        <w:rPr>
          <w:rFonts w:ascii="Palatino Linotype" w:hAnsi="Palatino Linotype"/>
          <w:lang w:val="en-US"/>
        </w:rPr>
        <w:t>:</w:t>
      </w:r>
    </w:p>
    <w:p w14:paraId="07DC67B9" w14:textId="5F9B7F22" w:rsidR="00432895" w:rsidRDefault="00432895" w:rsidP="00432895">
      <w:pPr>
        <w:pStyle w:val="Title"/>
        <w:numPr>
          <w:ilvl w:val="0"/>
          <w:numId w:val="5"/>
        </w:numPr>
      </w:pPr>
      <w:r>
        <w:t xml:space="preserve">Movement in therapeutic </w:t>
      </w:r>
      <w:r w:rsidRPr="008760E7">
        <w:t>spaces</w:t>
      </w:r>
      <w:r>
        <w:t xml:space="preserve"> – </w:t>
      </w:r>
      <w:r w:rsidRPr="008760E7">
        <w:t>Seeing</w:t>
      </w:r>
      <w:r>
        <w:t xml:space="preserve"> the Situational Gestalt </w:t>
      </w:r>
    </w:p>
    <w:p w14:paraId="3E1BD3E6" w14:textId="337CD32B" w:rsidR="002A2426" w:rsidRDefault="002A2426" w:rsidP="002A2426">
      <w:pPr>
        <w:pStyle w:val="BodyText"/>
        <w:numPr>
          <w:ilvl w:val="0"/>
          <w:numId w:val="5"/>
        </w:numPr>
      </w:pPr>
      <w:r>
        <w:t>Abstract: Psychotherapy Process Research arrived at a state where the cultural “transdiagnostic characteristics” like gender, age, colour, religious and spiritual orientation, income, class etc. (Norcross &amp; Wampold 2018) are considered as stronger guides for how therapists work than schematic diagnostic classification (like DSM or ICD). A new space for individualization of psychotherapy is open which allows a more precise look into conversational practice in the treatment room. I want to present some results of a study of typical situations (Co-Constructed Utterances – CCU; agenda transforming utterances – ATU; typical problematic situations – TPS). These emerge as situational gestalts with a rhythmical contour which can be described. In a second part I want to make visible how the “display of neutrality” by a therapist contributes to the outcome of a session. A look at gaze behavior and head movement will be presented.</w:t>
      </w:r>
    </w:p>
    <w:sectPr w:rsidR="002A2426" w:rsidSect="005E4850">
      <w:headerReference w:type="default" r:id="rId10"/>
      <w:footerReference w:type="default" r:id="rId11"/>
      <w:pgSz w:w="11900" w:h="16840"/>
      <w:pgMar w:top="474" w:right="560" w:bottom="1135" w:left="85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A51B3" w14:textId="77777777" w:rsidR="0042488E" w:rsidRDefault="0042488E" w:rsidP="005E4850">
      <w:pPr>
        <w:spacing w:after="0" w:line="240" w:lineRule="auto"/>
      </w:pPr>
      <w:r>
        <w:separator/>
      </w:r>
    </w:p>
  </w:endnote>
  <w:endnote w:type="continuationSeparator" w:id="0">
    <w:p w14:paraId="57E8FF0A" w14:textId="77777777" w:rsidR="0042488E" w:rsidRDefault="0042488E" w:rsidP="005E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7692" w14:textId="3C47B3B7" w:rsidR="005E4850" w:rsidRDefault="008C46E2" w:rsidP="008C46E2">
    <w:pPr>
      <w:pStyle w:val="Footer"/>
    </w:pPr>
    <w:r>
      <w:rPr>
        <w:noProof/>
        <w:lang w:eastAsia="de-DE"/>
      </w:rPr>
      <w:tab/>
    </w:r>
    <w:r>
      <w:rPr>
        <w:noProof/>
        <w:lang w:eastAsia="de-DE"/>
      </w:rP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29A0E" w14:textId="77777777" w:rsidR="0042488E" w:rsidRDefault="0042488E" w:rsidP="005E4850">
      <w:pPr>
        <w:spacing w:after="0" w:line="240" w:lineRule="auto"/>
      </w:pPr>
      <w:r>
        <w:separator/>
      </w:r>
    </w:p>
  </w:footnote>
  <w:footnote w:type="continuationSeparator" w:id="0">
    <w:p w14:paraId="45A4C647" w14:textId="77777777" w:rsidR="0042488E" w:rsidRDefault="0042488E" w:rsidP="005E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1B088" w14:textId="6B473440" w:rsidR="000219C0" w:rsidRDefault="00BB370E">
    <w:pPr>
      <w:pStyle w:val="Header"/>
      <w:rPr>
        <w:noProof/>
        <w:lang w:eastAsia="de-DE"/>
      </w:rPr>
    </w:pPr>
    <w:r w:rsidRPr="00BB370E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Arial" w:hAnsi="Arial" w:cs="Arial"/>
        <w:noProof/>
        <w:color w:val="001BA0"/>
        <w:sz w:val="20"/>
        <w:szCs w:val="20"/>
        <w:lang w:eastAsia="de-DE"/>
      </w:rPr>
      <w:t xml:space="preserve">        </w:t>
    </w:r>
    <w:r>
      <w:rPr>
        <w:noProof/>
        <w:color w:val="0000FF"/>
        <w:lang w:eastAsia="de-DE"/>
      </w:rPr>
      <w:t xml:space="preserve">        </w:t>
    </w:r>
    <w:r w:rsidR="008C46E2">
      <w:rPr>
        <w:rFonts w:ascii="Arial" w:hAnsi="Arial" w:cs="Arial"/>
        <w:noProof/>
        <w:color w:val="001BA0"/>
        <w:sz w:val="20"/>
        <w:szCs w:val="20"/>
        <w:lang w:eastAsia="de-DE"/>
      </w:rPr>
      <w:t xml:space="preserve">     </w:t>
    </w:r>
    <w:r>
      <w:rPr>
        <w:rFonts w:ascii="Arial" w:hAnsi="Arial" w:cs="Arial"/>
        <w:noProof/>
        <w:color w:val="001BA0"/>
        <w:sz w:val="20"/>
        <w:szCs w:val="20"/>
        <w:lang w:eastAsia="de-DE"/>
      </w:rPr>
      <w:t xml:space="preserve">  </w:t>
    </w:r>
    <w:r w:rsidR="008C46E2">
      <w:rPr>
        <w:rFonts w:ascii="Arial" w:hAnsi="Arial" w:cs="Arial"/>
        <w:noProof/>
        <w:color w:val="001BA0"/>
        <w:sz w:val="20"/>
        <w:szCs w:val="20"/>
        <w:lang w:eastAsia="de-DE"/>
      </w:rPr>
      <w:t xml:space="preserve">   </w:t>
    </w:r>
  </w:p>
  <w:p w14:paraId="1CE85A4E" w14:textId="494CC322" w:rsidR="002856B4" w:rsidRDefault="008C46E2" w:rsidP="00BB370E">
    <w:pPr>
      <w:pStyle w:val="Header"/>
      <w:tabs>
        <w:tab w:val="left" w:pos="3108"/>
      </w:tabs>
    </w:pPr>
    <w:r>
      <w:t xml:space="preserve">  </w:t>
    </w:r>
    <w:r w:rsidR="00D33DB3">
      <w:tab/>
      <w:t xml:space="preserve">     </w:t>
    </w:r>
    <w:r w:rsidR="00D33DB3">
      <w:tab/>
    </w:r>
    <w:r w:rsidR="00BB37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A13E1"/>
    <w:multiLevelType w:val="multilevel"/>
    <w:tmpl w:val="5F26B57E"/>
    <w:lvl w:ilvl="0">
      <w:start w:val="1"/>
      <w:numFmt w:val="decimal"/>
      <w:pStyle w:val="bibliolist"/>
      <w:lvlText w:val="%1."/>
      <w:lvlJc w:val="left"/>
      <w:pPr>
        <w:ind w:left="786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 w15:restartNumberingAfterBreak="0">
    <w:nsid w:val="13893401"/>
    <w:multiLevelType w:val="hybridMultilevel"/>
    <w:tmpl w:val="B860B938"/>
    <w:lvl w:ilvl="0" w:tplc="35E01DF4">
      <w:start w:val="1"/>
      <w:numFmt w:val="decimal"/>
      <w:lvlText w:val="%1."/>
      <w:lvlJc w:val="left"/>
      <w:pPr>
        <w:ind w:left="114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779372A"/>
    <w:multiLevelType w:val="hybridMultilevel"/>
    <w:tmpl w:val="755A82D6"/>
    <w:lvl w:ilvl="0" w:tplc="BC1E60A0">
      <w:start w:val="1"/>
      <w:numFmt w:val="bullet"/>
      <w:lvlText w:val="-"/>
      <w:lvlJc w:val="left"/>
      <w:pPr>
        <w:ind w:left="360" w:hanging="360"/>
      </w:pPr>
      <w:rPr>
        <w:rFonts w:ascii="Palatino Linotype" w:eastAsia="Calibri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E561DB"/>
    <w:multiLevelType w:val="hybridMultilevel"/>
    <w:tmpl w:val="EDF2EAE0"/>
    <w:lvl w:ilvl="0" w:tplc="CC7C48F2">
      <w:numFmt w:val="bullet"/>
      <w:lvlText w:val="•"/>
      <w:lvlJc w:val="left"/>
      <w:pPr>
        <w:ind w:left="1211" w:hanging="360"/>
      </w:pPr>
      <w:rPr>
        <w:rFonts w:ascii="Palatino Linotype" w:eastAsia="Calibri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4311577"/>
    <w:multiLevelType w:val="hybridMultilevel"/>
    <w:tmpl w:val="49ACB42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D6514"/>
    <w:multiLevelType w:val="hybridMultilevel"/>
    <w:tmpl w:val="F5CEA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02464"/>
    <w:multiLevelType w:val="hybridMultilevel"/>
    <w:tmpl w:val="32542624"/>
    <w:lvl w:ilvl="0" w:tplc="4EA6CBC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E76D1"/>
    <w:multiLevelType w:val="hybridMultilevel"/>
    <w:tmpl w:val="F4E22734"/>
    <w:lvl w:ilvl="0" w:tplc="0407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6E824895"/>
    <w:multiLevelType w:val="hybridMultilevel"/>
    <w:tmpl w:val="660EB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revisionView w:inkAnnotations="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EF"/>
    <w:rsid w:val="000219C0"/>
    <w:rsid w:val="00025E54"/>
    <w:rsid w:val="000312AA"/>
    <w:rsid w:val="0004392D"/>
    <w:rsid w:val="00052004"/>
    <w:rsid w:val="00053132"/>
    <w:rsid w:val="00061FDA"/>
    <w:rsid w:val="000658A9"/>
    <w:rsid w:val="00067A4E"/>
    <w:rsid w:val="00076D2E"/>
    <w:rsid w:val="000909A2"/>
    <w:rsid w:val="000A6FB6"/>
    <w:rsid w:val="000B4DDA"/>
    <w:rsid w:val="000C4758"/>
    <w:rsid w:val="000D0AA4"/>
    <w:rsid w:val="00100AE9"/>
    <w:rsid w:val="0012738C"/>
    <w:rsid w:val="001415AC"/>
    <w:rsid w:val="00143577"/>
    <w:rsid w:val="001640F0"/>
    <w:rsid w:val="001765B0"/>
    <w:rsid w:val="0018356C"/>
    <w:rsid w:val="00185AE3"/>
    <w:rsid w:val="001B1E37"/>
    <w:rsid w:val="001C5A0D"/>
    <w:rsid w:val="001C6855"/>
    <w:rsid w:val="001D1C07"/>
    <w:rsid w:val="001E3585"/>
    <w:rsid w:val="001F5CD5"/>
    <w:rsid w:val="002374C8"/>
    <w:rsid w:val="00274C97"/>
    <w:rsid w:val="002768B2"/>
    <w:rsid w:val="00277956"/>
    <w:rsid w:val="002856B4"/>
    <w:rsid w:val="00287FE6"/>
    <w:rsid w:val="00291A86"/>
    <w:rsid w:val="002A2426"/>
    <w:rsid w:val="002B45F5"/>
    <w:rsid w:val="002C6F54"/>
    <w:rsid w:val="002D20D1"/>
    <w:rsid w:val="002E3EDF"/>
    <w:rsid w:val="002F656C"/>
    <w:rsid w:val="00303081"/>
    <w:rsid w:val="0031636F"/>
    <w:rsid w:val="00344460"/>
    <w:rsid w:val="00353CFC"/>
    <w:rsid w:val="0035515E"/>
    <w:rsid w:val="00365F37"/>
    <w:rsid w:val="00372BC8"/>
    <w:rsid w:val="00382AA5"/>
    <w:rsid w:val="0039467A"/>
    <w:rsid w:val="003A70E9"/>
    <w:rsid w:val="003C1EFA"/>
    <w:rsid w:val="003C5F49"/>
    <w:rsid w:val="003C5FD6"/>
    <w:rsid w:val="003D4E5D"/>
    <w:rsid w:val="003E38BA"/>
    <w:rsid w:val="00412C15"/>
    <w:rsid w:val="00415A41"/>
    <w:rsid w:val="00415E12"/>
    <w:rsid w:val="0042240F"/>
    <w:rsid w:val="0042488E"/>
    <w:rsid w:val="00431075"/>
    <w:rsid w:val="00432895"/>
    <w:rsid w:val="004364AD"/>
    <w:rsid w:val="0044770A"/>
    <w:rsid w:val="004607D6"/>
    <w:rsid w:val="00461BE0"/>
    <w:rsid w:val="004D39FC"/>
    <w:rsid w:val="004E518F"/>
    <w:rsid w:val="004F58CC"/>
    <w:rsid w:val="00535A19"/>
    <w:rsid w:val="00545AB2"/>
    <w:rsid w:val="0054608B"/>
    <w:rsid w:val="005B7C77"/>
    <w:rsid w:val="005C450B"/>
    <w:rsid w:val="005D6060"/>
    <w:rsid w:val="005D60F0"/>
    <w:rsid w:val="005E045B"/>
    <w:rsid w:val="005E4850"/>
    <w:rsid w:val="00607B16"/>
    <w:rsid w:val="00622797"/>
    <w:rsid w:val="0064226A"/>
    <w:rsid w:val="006451A9"/>
    <w:rsid w:val="00662B81"/>
    <w:rsid w:val="00662D6B"/>
    <w:rsid w:val="00675FA0"/>
    <w:rsid w:val="00680445"/>
    <w:rsid w:val="006A2022"/>
    <w:rsid w:val="006A7DAA"/>
    <w:rsid w:val="006B140B"/>
    <w:rsid w:val="006C522C"/>
    <w:rsid w:val="006E5119"/>
    <w:rsid w:val="00714EE2"/>
    <w:rsid w:val="00720D8B"/>
    <w:rsid w:val="00787669"/>
    <w:rsid w:val="00795A35"/>
    <w:rsid w:val="007A04A4"/>
    <w:rsid w:val="00835F55"/>
    <w:rsid w:val="00855C6E"/>
    <w:rsid w:val="00863128"/>
    <w:rsid w:val="008C46E2"/>
    <w:rsid w:val="008F531F"/>
    <w:rsid w:val="00941278"/>
    <w:rsid w:val="009511FA"/>
    <w:rsid w:val="009837BB"/>
    <w:rsid w:val="009954B8"/>
    <w:rsid w:val="009B5FC7"/>
    <w:rsid w:val="00A00F3A"/>
    <w:rsid w:val="00A067C1"/>
    <w:rsid w:val="00A53782"/>
    <w:rsid w:val="00A70292"/>
    <w:rsid w:val="00A75853"/>
    <w:rsid w:val="00A908F4"/>
    <w:rsid w:val="00AC51EF"/>
    <w:rsid w:val="00AC766E"/>
    <w:rsid w:val="00AD7C1F"/>
    <w:rsid w:val="00AE0563"/>
    <w:rsid w:val="00AE5B94"/>
    <w:rsid w:val="00B015E8"/>
    <w:rsid w:val="00B108D2"/>
    <w:rsid w:val="00B13F5F"/>
    <w:rsid w:val="00B24805"/>
    <w:rsid w:val="00B27828"/>
    <w:rsid w:val="00B36308"/>
    <w:rsid w:val="00B64D68"/>
    <w:rsid w:val="00BB370E"/>
    <w:rsid w:val="00BC69CF"/>
    <w:rsid w:val="00C6370D"/>
    <w:rsid w:val="00CA66BA"/>
    <w:rsid w:val="00CF6B0F"/>
    <w:rsid w:val="00D11C38"/>
    <w:rsid w:val="00D14F85"/>
    <w:rsid w:val="00D33DB3"/>
    <w:rsid w:val="00D6166C"/>
    <w:rsid w:val="00DA2684"/>
    <w:rsid w:val="00DA4122"/>
    <w:rsid w:val="00DC26EE"/>
    <w:rsid w:val="00DC43B4"/>
    <w:rsid w:val="00DD5345"/>
    <w:rsid w:val="00E47FEF"/>
    <w:rsid w:val="00E5411E"/>
    <w:rsid w:val="00EF3F05"/>
    <w:rsid w:val="00F21CEF"/>
    <w:rsid w:val="00F62AE4"/>
    <w:rsid w:val="00F67C5D"/>
    <w:rsid w:val="00F70B93"/>
    <w:rsid w:val="00F87910"/>
    <w:rsid w:val="00F87EBD"/>
    <w:rsid w:val="00FA6801"/>
    <w:rsid w:val="00FE6994"/>
    <w:rsid w:val="00FF369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EC8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CEF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kademieFlietext">
    <w:name w:val="Akademie Fließtext"/>
    <w:basedOn w:val="Normal"/>
    <w:autoRedefine/>
    <w:qFormat/>
    <w:rsid w:val="004E518F"/>
    <w:pPr>
      <w:spacing w:after="0" w:line="260" w:lineRule="exact"/>
      <w:jc w:val="both"/>
    </w:pPr>
    <w:rPr>
      <w:rFonts w:ascii="Times New Roman" w:hAnsi="Times New Roman"/>
      <w:b/>
      <w:sz w:val="21"/>
      <w:szCs w:val="21"/>
      <w:lang w:eastAsia="de-DE"/>
    </w:rPr>
  </w:style>
  <w:style w:type="character" w:styleId="Hyperlink">
    <w:name w:val="Hyperlink"/>
    <w:basedOn w:val="DefaultParagraphFont"/>
    <w:unhideWhenUsed/>
    <w:rsid w:val="00F21C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21C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CE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EF"/>
    <w:rPr>
      <w:rFonts w:ascii="Lucida Grande" w:eastAsia="Calibri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AE056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277956"/>
    <w:pPr>
      <w:spacing w:after="0" w:line="240" w:lineRule="auto"/>
    </w:pPr>
    <w:rPr>
      <w:rFonts w:ascii="Palatino Linotype" w:eastAsiaTheme="minorEastAsia" w:hAnsi="Palatino Linotype"/>
      <w:sz w:val="15"/>
      <w:szCs w:val="15"/>
      <w:lang w:eastAsia="de-DE"/>
    </w:rPr>
  </w:style>
  <w:style w:type="character" w:customStyle="1" w:styleId="apple-converted-space">
    <w:name w:val="apple-converted-space"/>
    <w:basedOn w:val="DefaultParagraphFont"/>
    <w:rsid w:val="00277956"/>
  </w:style>
  <w:style w:type="paragraph" w:customStyle="1" w:styleId="p2">
    <w:name w:val="p2"/>
    <w:basedOn w:val="Normal"/>
    <w:rsid w:val="00277956"/>
    <w:pPr>
      <w:spacing w:after="0" w:line="240" w:lineRule="auto"/>
    </w:pPr>
    <w:rPr>
      <w:rFonts w:ascii="Palatino Linotype" w:eastAsiaTheme="minorEastAsia" w:hAnsi="Palatino Linotype"/>
      <w:color w:val="0433FF"/>
      <w:sz w:val="15"/>
      <w:szCs w:val="15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412C1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61FD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E4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850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E4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850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xbe">
    <w:name w:val="_xbe"/>
    <w:basedOn w:val="DefaultParagraphFont"/>
    <w:rsid w:val="00AC766E"/>
  </w:style>
  <w:style w:type="character" w:styleId="UnresolvedMention">
    <w:name w:val="Unresolved Mention"/>
    <w:basedOn w:val="DefaultParagraphFont"/>
    <w:uiPriority w:val="99"/>
    <w:semiHidden/>
    <w:unhideWhenUsed/>
    <w:rsid w:val="005D6060"/>
    <w:rPr>
      <w:color w:val="808080"/>
      <w:shd w:val="clear" w:color="auto" w:fill="E6E6E6"/>
    </w:rPr>
  </w:style>
  <w:style w:type="paragraph" w:customStyle="1" w:styleId="bibliolist">
    <w:name w:val="bibliolist"/>
    <w:basedOn w:val="Normal"/>
    <w:link w:val="bibliolistChar"/>
    <w:qFormat/>
    <w:rsid w:val="009954B8"/>
    <w:pPr>
      <w:numPr>
        <w:numId w:val="6"/>
      </w:numPr>
      <w:spacing w:before="120" w:after="120" w:line="240" w:lineRule="auto"/>
    </w:pPr>
    <w:rPr>
      <w:rFonts w:ascii="Times New Roman" w:eastAsia="Times New Roman" w:hAnsi="Times New Roman"/>
      <w:lang w:val="en-US" w:eastAsia="pl-PL"/>
    </w:rPr>
  </w:style>
  <w:style w:type="paragraph" w:customStyle="1" w:styleId="Bibliolist1">
    <w:name w:val="Bibliolist 1"/>
    <w:basedOn w:val="bibliolist"/>
    <w:link w:val="Bibliolist1Char"/>
    <w:qFormat/>
    <w:rsid w:val="009954B8"/>
    <w:rPr>
      <w:lang w:val="de-AT"/>
    </w:rPr>
  </w:style>
  <w:style w:type="character" w:customStyle="1" w:styleId="Bibliolist1Char">
    <w:name w:val="Bibliolist 1 Char"/>
    <w:link w:val="Bibliolist1"/>
    <w:rsid w:val="009954B8"/>
    <w:rPr>
      <w:rFonts w:ascii="Times New Roman" w:eastAsia="Times New Roman" w:hAnsi="Times New Roman" w:cs="Times New Roman"/>
      <w:sz w:val="22"/>
      <w:szCs w:val="22"/>
      <w:lang w:val="de-AT" w:eastAsia="pl-PL"/>
    </w:rPr>
  </w:style>
  <w:style w:type="character" w:customStyle="1" w:styleId="bibliolistChar">
    <w:name w:val="bibliolist Char"/>
    <w:link w:val="bibliolist"/>
    <w:rsid w:val="009954B8"/>
    <w:rPr>
      <w:rFonts w:ascii="Times New Roman" w:eastAsia="Times New Roman" w:hAnsi="Times New Roman" w:cs="Times New Roman"/>
      <w:sz w:val="22"/>
      <w:szCs w:val="22"/>
      <w:lang w:val="en-US" w:eastAsia="pl-PL"/>
    </w:rPr>
  </w:style>
  <w:style w:type="paragraph" w:customStyle="1" w:styleId="CitaviLiteraturverzeichnis">
    <w:name w:val="Citavi Literaturverzeichnis"/>
    <w:basedOn w:val="Normal"/>
    <w:rsid w:val="00FA6801"/>
    <w:pPr>
      <w:spacing w:after="60" w:line="240" w:lineRule="auto"/>
      <w:ind w:left="283" w:hanging="283"/>
    </w:pPr>
    <w:rPr>
      <w:rFonts w:ascii="Segoe UI" w:eastAsia="Times New Roman" w:hAnsi="Segoe UI" w:cs="Segoe UI"/>
      <w:sz w:val="18"/>
      <w:szCs w:val="18"/>
      <w:lang w:eastAsia="ja-JP"/>
    </w:rPr>
  </w:style>
  <w:style w:type="paragraph" w:styleId="Title">
    <w:name w:val="Title"/>
    <w:basedOn w:val="Normal"/>
    <w:next w:val="Normal"/>
    <w:link w:val="TitleChar"/>
    <w:autoRedefine/>
    <w:uiPriority w:val="1"/>
    <w:qFormat/>
    <w:rsid w:val="00432895"/>
    <w:pPr>
      <w:spacing w:after="12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7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432895"/>
    <w:rPr>
      <w:rFonts w:asciiTheme="majorHAnsi" w:eastAsiaTheme="majorEastAsia" w:hAnsiTheme="majorHAnsi" w:cstheme="majorBidi"/>
      <w:b/>
      <w:spacing w:val="-10"/>
      <w:kern w:val="28"/>
      <w:sz w:val="32"/>
      <w:szCs w:val="72"/>
      <w:lang w:val="en-US"/>
    </w:rPr>
  </w:style>
  <w:style w:type="paragraph" w:styleId="BodyText">
    <w:name w:val="Body Text"/>
    <w:basedOn w:val="Normal"/>
    <w:link w:val="BodyTextChar"/>
    <w:qFormat/>
    <w:rsid w:val="002A2426"/>
    <w:pPr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A2426"/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0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5539/ijps.v8n3p134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14563-FD79-4F42-A7B5-7E3B99559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Bremen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H. Warnke</dc:creator>
  <cp:keywords/>
  <dc:description/>
  <cp:lastModifiedBy>Silvia Bonacchi</cp:lastModifiedBy>
  <cp:revision>2</cp:revision>
  <cp:lastPrinted>2017-06-06T12:31:00Z</cp:lastPrinted>
  <dcterms:created xsi:type="dcterms:W3CDTF">2019-04-04T10:22:00Z</dcterms:created>
  <dcterms:modified xsi:type="dcterms:W3CDTF">2019-04-04T10:22:00Z</dcterms:modified>
</cp:coreProperties>
</file>